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BK_H 147/04 vom 11. Oktober 2004</w:t>
      </w:r>
    </w:p>
    <w:p>
      <w:r>
        <w:t>Bundesstrafgericht, 2004-10-11, DE</w:t>
      </w:r>
    </w:p>
    <w:p>
      <w:r>
        <w:rPr>
          <w:b/>
        </w:rPr>
        <w:t xml:space="preserve">Quelle: </w:t>
      </w:r>
      <w:r>
        <w:t>https://mcp.opencaselaw.ch/entscheid/bstger_BK_H 147_04</w:t>
      </w:r>
    </w:p>
    <w:p>
      <w:r>
        <w:t>FR: TPF BK_H 147/04 du 11 octobre 2004</w:t>
      </w:r>
    </w:p>
    <w:p>
      <w:r>
        <w:t>IT: TPF BK_H 147/04 del 11 ottobre 2004</w:t>
      </w:r>
    </w:p>
    <w:p>
      <w:pPr>
        <w:pStyle w:val="Heading2"/>
      </w:pPr>
      <w:r>
        <w:t>Regeste</w:t>
      </w:r>
    </w:p>
    <w:p>
      <w:r>
        <w:t>Gesuch um Haftverlängerung (Art. 51 Ziff. 2 und 3 BStP)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September 2004 sowie das Urteil des Tribunale Civile e Penale di Bari vom 17. Juli 2001) einen dringenden Tatverdacht gegen den Gesuchsgeg- ner wegen Unterstützung von bzw. Beteiligung an einer kriminellen Organi- sation im Sinne von Art. 260ter StGB und Geldwäscherei im Sinne von Art. 305bis StGB bestätigen; dass der Gesuchsgegner offenbar eine Neigung zu kolludieren hat, geht doch aus den Aussagen insbesondere des Mitverdächtigten F.______ her- vor, dass der Gesuchsgegner seinen Namen von verschiedenen Dokumen- ten verschwinden liess bzw. wollte verschwinden lassen (BK act. 1.4: Ein- vernahme F.______ vom 9. September 2004, S. 9 und 10), dass der Gesuchsgegner in den bisherigen Einvernahmen vorerst jede Be- teiligung an den inkriminierten Delikten bzw. die Zusammenarbeit mit den übrigen Verdächtigten umfassend bestritt (Einvernahme A.______ vom 1. September 2004, S. 6 und 7), dann aber angesichts der ihm vorgehalte- nen Beweismittel immer genau soviel zugab, als den Beweismitteln ent- nommen werden konnte (Einvernahme A.______ vom 8. September 2004, S. 7 und 8); dass die bisher getätigten Ermittlungen das Zusammenwirken des Ge- suchsgegners vor allem mit den Mitverdächtigten F.______ und E.______ aufzeigen, und das Kollusionsbedürfnis des Gesuchsgegners sich deshalb insbesondere mit diesen Herren konkretisieren könnte, v.a. wenn diese aus Gründen der Gleichbehandlung ebenfalls auf freien Fuss gesetzt würden; dass die Kollusionsneigung den Beschuldigten bei einer verfrühten Freilas- sung u.a. dazu führen könnte, sich mit beteiligten Drittpersonen (z. B.</w:t>
      </w:r>
    </w:p>
    <w:p>
      <w:r>
        <w:t>- 4 -</w:t>
      </w:r>
    </w:p>
    <w:p>
      <w:r>
        <w:t>G.______) bzw. noch nicht verhafteten Beschuldigten (z. B. H._______) abzusprechen; dass damit konkrete Indizien für die Annahme von heute nach wie vor ak- tueller Verdunkelungsgefahr sprechen; dass zahlreiche Ermittlungshandlungen im heutigen Zeitpunkt noch nicht abgeschlossen sind und es angesichts der umfangreichen Menge von ver- fahrensrelevantem Material und der Anzahl involvierter Personen noch er- hebliche Zeit dauern wird, bis die Ermittlungen soweit gediehen sind, dass die Entlassung des Gesuchsgegners unter dem Gesichtspunkt der Kollu- sion ins Auge gefasst werden kann; dass in Anbetracht der abzuklärenden Delikte Untersuchungshaft ohne wei- teres verhältnismässig ist; dass dem Gesuch unter Berücksichtigung dieser Gesichtspunkte bis zum 30. November 2004 stattzugeben ist, die Gesuchstellerin jedoch die Frei- lassung jederzeit verfügen kann, wenn keine Haftgründe mehr bestehen; dass die Gerichtsgebühr für das vorliegende Haftverlängerungsverfahren gestützt auf Art. 3 des Reglementes vom 11. Februar 2004 über die Ge- richtsgebühren vor dem Bundesstrafgericht (SR 173.711.32) auf Fr. 1'000.-- festzusetzen und bei der Hauptsache zu belassen ist.</w:t>
      </w:r>
    </w:p>
    <w:p>
      <w:r>
        <w:t>- 5 -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